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42"/>
        <w:gridCol w:w="142"/>
        <w:gridCol w:w="850"/>
        <w:gridCol w:w="993"/>
        <w:gridCol w:w="850"/>
        <w:gridCol w:w="709"/>
        <w:gridCol w:w="2126"/>
      </w:tblGrid>
      <w:tr w:rsidR="006D3333" w:rsidRPr="00FE7069" w:rsidTr="007B50BE">
        <w:trPr>
          <w:trHeight w:val="566"/>
        </w:trPr>
        <w:tc>
          <w:tcPr>
            <w:tcW w:w="11057" w:type="dxa"/>
            <w:gridSpan w:val="8"/>
            <w:shd w:val="clear" w:color="auto" w:fill="D9D9D9" w:themeFill="background1" w:themeFillShade="D9"/>
          </w:tcPr>
          <w:p w:rsidR="00822DB6" w:rsidRPr="00713F0E" w:rsidRDefault="00822DB6" w:rsidP="00822DB6">
            <w:pPr>
              <w:pStyle w:val="Naslov"/>
            </w:pPr>
            <w:r w:rsidRPr="00713F0E">
              <w:t>Oddelčno poročilo o kakovosti 201</w:t>
            </w:r>
            <w:r>
              <w:t>6</w:t>
            </w:r>
          </w:p>
          <w:p w:rsidR="00822DB6" w:rsidRPr="00713F0E" w:rsidRDefault="00822DB6" w:rsidP="00822DB6">
            <w:pPr>
              <w:pStyle w:val="Podnaslov"/>
            </w:pPr>
            <w:r w:rsidRPr="00713F0E">
              <w:t>Oddelek</w:t>
            </w:r>
            <w:r>
              <w:t xml:space="preserve"> za slovenistiko</w:t>
            </w:r>
          </w:p>
          <w:p w:rsidR="006D3333" w:rsidRPr="00FE7069" w:rsidRDefault="00822DB6" w:rsidP="00822DB6">
            <w:pPr>
              <w:pStyle w:val="Brezrazmikov"/>
            </w:pPr>
            <w:r>
              <w:t>Poročilo je povzetek poročil 19 kolegov in predstavnika študentov. -- Miran Hladnik</w:t>
            </w:r>
            <w:r w:rsidR="006D3333" w:rsidRPr="00FE7069">
              <w:t>IZOBRAŽEVANJE</w:t>
            </w:r>
          </w:p>
        </w:tc>
      </w:tr>
      <w:tr w:rsidR="00822DB6" w:rsidRPr="00FE7069" w:rsidTr="007B50BE">
        <w:tc>
          <w:tcPr>
            <w:tcW w:w="6379" w:type="dxa"/>
            <w:gridSpan w:val="4"/>
            <w:shd w:val="clear" w:color="auto" w:fill="D6E3BC" w:themeFill="accent3" w:themeFillTint="66"/>
          </w:tcPr>
          <w:p w:rsidR="006D3333" w:rsidRPr="00FE7069" w:rsidRDefault="006D3333" w:rsidP="008D3AFB">
            <w:pPr>
              <w:pStyle w:val="Brezrazmikov"/>
            </w:pPr>
            <w:r w:rsidRPr="00FE7069">
              <w:t>Ključni dosežki, prednosti in dobre prakse</w:t>
            </w:r>
          </w:p>
        </w:tc>
        <w:tc>
          <w:tcPr>
            <w:tcW w:w="4678" w:type="dxa"/>
            <w:gridSpan w:val="4"/>
            <w:shd w:val="clear" w:color="auto" w:fill="D6E3BC" w:themeFill="accent3" w:themeFillTint="66"/>
          </w:tcPr>
          <w:p w:rsidR="006D3333" w:rsidRPr="00FE7069" w:rsidRDefault="006D3333" w:rsidP="008D3AFB">
            <w:pPr>
              <w:pStyle w:val="Brezrazmikov"/>
            </w:pPr>
            <w:r w:rsidRPr="00FE7069">
              <w:t>Zakaj je to dobro?</w:t>
            </w:r>
          </w:p>
        </w:tc>
      </w:tr>
      <w:tr w:rsidR="00822DB6" w:rsidRPr="00FE7069" w:rsidTr="007B50BE">
        <w:tc>
          <w:tcPr>
            <w:tcW w:w="6379" w:type="dxa"/>
            <w:gridSpan w:val="4"/>
          </w:tcPr>
          <w:p w:rsidR="006D3333" w:rsidRPr="00FE7069" w:rsidRDefault="006D3333" w:rsidP="008D3AFB">
            <w:pPr>
              <w:pStyle w:val="Brezrazmikov"/>
            </w:pPr>
            <w:r w:rsidRPr="00FE7069">
              <w:t>Temeljito mentorstvo študentskih pisnih izdelkov, inovativne metode (obrnjeno učenje (flipped learning), IKT, video), učbeniki, človeški odnos do študentov. Seminarsko delo na očeh javnosti (na wikijih) in s sodelovanjem javnosti.</w:t>
            </w:r>
          </w:p>
        </w:tc>
        <w:tc>
          <w:tcPr>
            <w:tcW w:w="4678" w:type="dxa"/>
            <w:gridSpan w:val="4"/>
          </w:tcPr>
          <w:p w:rsidR="006D3333" w:rsidRPr="00FE7069" w:rsidRDefault="006D3333" w:rsidP="008D3AFB">
            <w:pPr>
              <w:pStyle w:val="Brezrazmikov"/>
            </w:pPr>
            <w:r w:rsidRPr="00FE7069">
              <w:t xml:space="preserve">Ker so izdelki, ki so na ogled javnosti in so tudi v interesu javnosti, boljši. </w:t>
            </w:r>
          </w:p>
        </w:tc>
      </w:tr>
      <w:tr w:rsidR="00822DB6" w:rsidRPr="00FE7069" w:rsidTr="007B50BE">
        <w:tc>
          <w:tcPr>
            <w:tcW w:w="6379" w:type="dxa"/>
            <w:gridSpan w:val="4"/>
          </w:tcPr>
          <w:p w:rsidR="006D3333" w:rsidRPr="00FE7069" w:rsidRDefault="006D3333" w:rsidP="008D3AFB">
            <w:pPr>
              <w:pStyle w:val="Brezrazmikov"/>
            </w:pPr>
            <w:r w:rsidRPr="00FE7069">
              <w:t>Delo v skupinah in sodelovalno učenje, komunikativna predavanja na aktualne teme, prilagajanje snovi interesom študentov in svojim relevantnim preferencam, motiviranje redkih posameznikov za raziskovanje, spodbujanje samostojnega razmišljanja, razumevanja prebranega, diskusije, argumentiranja.</w:t>
            </w:r>
          </w:p>
        </w:tc>
        <w:tc>
          <w:tcPr>
            <w:tcW w:w="4678" w:type="dxa"/>
            <w:gridSpan w:val="4"/>
          </w:tcPr>
          <w:p w:rsidR="006D3333" w:rsidRPr="00FE7069" w:rsidRDefault="006D3333" w:rsidP="008D3AFB">
            <w:pPr>
              <w:pStyle w:val="Brezrazmikov"/>
            </w:pPr>
            <w:r w:rsidRPr="00FE7069">
              <w:t>Ker je sodelovanje ključ za uspešno preživetje in kvalitetno življenje.</w:t>
            </w:r>
          </w:p>
        </w:tc>
      </w:tr>
      <w:tr w:rsidR="00822DB6" w:rsidRPr="00FE7069" w:rsidTr="007B50BE">
        <w:tc>
          <w:tcPr>
            <w:tcW w:w="6379" w:type="dxa"/>
            <w:gridSpan w:val="4"/>
            <w:shd w:val="clear" w:color="auto" w:fill="E5B8B7" w:themeFill="accent2" w:themeFillTint="66"/>
          </w:tcPr>
          <w:p w:rsidR="006D3333" w:rsidRPr="00FE7069" w:rsidRDefault="006D3333" w:rsidP="008D3AFB">
            <w:pPr>
              <w:pStyle w:val="Brezrazmikov"/>
            </w:pPr>
            <w:r w:rsidRPr="00FE7069">
              <w:t>Ključne pomanjkljivosti, priložnosti za izboljšave</w:t>
            </w:r>
          </w:p>
        </w:tc>
        <w:tc>
          <w:tcPr>
            <w:tcW w:w="4678" w:type="dxa"/>
            <w:gridSpan w:val="4"/>
            <w:shd w:val="clear" w:color="auto" w:fill="E5B8B7" w:themeFill="accent2" w:themeFillTint="66"/>
          </w:tcPr>
          <w:p w:rsidR="006D3333" w:rsidRPr="00FE7069" w:rsidRDefault="006D3333" w:rsidP="008D3AFB">
            <w:pPr>
              <w:pStyle w:val="Brezrazmikov"/>
            </w:pPr>
            <w:r w:rsidRPr="00FE7069">
              <w:t>Kako to izboljšati?</w:t>
            </w:r>
          </w:p>
        </w:tc>
      </w:tr>
      <w:tr w:rsidR="00822DB6" w:rsidRPr="00FE7069" w:rsidTr="007B50BE">
        <w:tc>
          <w:tcPr>
            <w:tcW w:w="6379" w:type="dxa"/>
            <w:gridSpan w:val="4"/>
          </w:tcPr>
          <w:p w:rsidR="006D3333" w:rsidRPr="00FE7069" w:rsidRDefault="006D3333" w:rsidP="008D3AFB">
            <w:pPr>
              <w:pStyle w:val="Brezrazmikov"/>
            </w:pPr>
            <w:r w:rsidRPr="00FE7069">
              <w:t>Rigidni okvir študijskega programa otežuje posodabljanje vsebin.</w:t>
            </w:r>
          </w:p>
        </w:tc>
        <w:tc>
          <w:tcPr>
            <w:tcW w:w="4678" w:type="dxa"/>
            <w:gridSpan w:val="4"/>
          </w:tcPr>
          <w:p w:rsidR="006D3333" w:rsidRPr="00FE7069" w:rsidRDefault="006D3333" w:rsidP="006D3333">
            <w:pPr>
              <w:pStyle w:val="Brezrazmikov"/>
            </w:pPr>
            <w:r w:rsidRPr="00FE7069">
              <w:t>Dovolimo odstopanje od programa</w:t>
            </w:r>
            <w:r>
              <w:t xml:space="preserve"> in s </w:t>
            </w:r>
            <w:r>
              <w:t>spremembo programa.</w:t>
            </w:r>
          </w:p>
        </w:tc>
      </w:tr>
      <w:tr w:rsidR="00822DB6" w:rsidRPr="00FE7069" w:rsidTr="007B50BE">
        <w:tc>
          <w:tcPr>
            <w:tcW w:w="6379" w:type="dxa"/>
            <w:gridSpan w:val="4"/>
          </w:tcPr>
          <w:p w:rsidR="006D3333" w:rsidRPr="00FE7069" w:rsidRDefault="006D3333" w:rsidP="008D3AFB">
            <w:pPr>
              <w:pStyle w:val="Brezrazmikov"/>
            </w:pPr>
            <w:r w:rsidRPr="00FE7069">
              <w:t xml:space="preserve">Premajhno število študentov na 2. stopnji. Zaradi varčevalnega združevanja prevelike skupine pri vajah. </w:t>
            </w:r>
          </w:p>
        </w:tc>
        <w:tc>
          <w:tcPr>
            <w:tcW w:w="4678" w:type="dxa"/>
            <w:gridSpan w:val="4"/>
          </w:tcPr>
          <w:p w:rsidR="006D3333" w:rsidRPr="00FE7069" w:rsidRDefault="006D3333" w:rsidP="008D3AFB">
            <w:pPr>
              <w:pStyle w:val="Brezrazmikov"/>
            </w:pPr>
            <w:r w:rsidRPr="00FE7069">
              <w:t>Z ukinitvijo modulov in čakalne dobe za nadomestne razpise mest.</w:t>
            </w:r>
            <w:r>
              <w:t xml:space="preserve"> </w:t>
            </w:r>
          </w:p>
        </w:tc>
      </w:tr>
      <w:tr w:rsidR="00822DB6" w:rsidRPr="00FE7069" w:rsidTr="007B50BE">
        <w:tc>
          <w:tcPr>
            <w:tcW w:w="6379" w:type="dxa"/>
            <w:gridSpan w:val="4"/>
          </w:tcPr>
          <w:p w:rsidR="006D3333" w:rsidRPr="00FE7069" w:rsidRDefault="006D3333" w:rsidP="008D3AFB">
            <w:pPr>
              <w:pStyle w:val="Brezrazmikov"/>
            </w:pPr>
            <w:r w:rsidRPr="00FE7069">
              <w:t xml:space="preserve">Tretjina študentov ne prihaja na predavanja in ne izpolnjuje sprotnih zadolžitev, niso zainteresirani za zahtevnejše vsebine. </w:t>
            </w:r>
          </w:p>
        </w:tc>
        <w:tc>
          <w:tcPr>
            <w:tcW w:w="4678" w:type="dxa"/>
            <w:gridSpan w:val="4"/>
          </w:tcPr>
          <w:p w:rsidR="006D3333" w:rsidRPr="00FE7069" w:rsidRDefault="006D3333" w:rsidP="008D3AFB">
            <w:pPr>
              <w:pStyle w:val="Brezrazmikov"/>
            </w:pPr>
            <w:r w:rsidRPr="00FE7069">
              <w:t>Odsotnost ipd. študentje opravičijo s tipkanjem za javno dobro.</w:t>
            </w:r>
          </w:p>
        </w:tc>
      </w:tr>
      <w:tr w:rsidR="00822DB6" w:rsidRPr="00FE7069" w:rsidTr="007B50BE">
        <w:tc>
          <w:tcPr>
            <w:tcW w:w="6379" w:type="dxa"/>
            <w:gridSpan w:val="4"/>
          </w:tcPr>
          <w:p w:rsidR="006D3333" w:rsidRPr="00FE7069" w:rsidRDefault="006D3333" w:rsidP="008D3AFB">
            <w:pPr>
              <w:pStyle w:val="Brezrazmikov"/>
            </w:pPr>
            <w:r w:rsidRPr="00FE7069">
              <w:t>Preveč seminarskih ter diplomskih del za popravljanje in sprotno odzivanje nanje.</w:t>
            </w:r>
          </w:p>
        </w:tc>
        <w:tc>
          <w:tcPr>
            <w:tcW w:w="4678" w:type="dxa"/>
            <w:gridSpan w:val="4"/>
          </w:tcPr>
          <w:p w:rsidR="006D3333" w:rsidRPr="00FE7069" w:rsidRDefault="006D3333" w:rsidP="006D3333">
            <w:pPr>
              <w:pStyle w:val="Brezrazmikov"/>
            </w:pPr>
            <w:r w:rsidRPr="00FE7069">
              <w:t>Prvostopenjsko diplomo zamenjati s seminarsko nalogo.</w:t>
            </w:r>
            <w:r>
              <w:t xml:space="preserve"> </w:t>
            </w:r>
            <w:r>
              <w:t>Študente porazdeliti med učitelje</w:t>
            </w:r>
            <w:r>
              <w:t>, učiteljem pa</w:t>
            </w:r>
            <w:r>
              <w:t xml:space="preserve"> določiti </w:t>
            </w:r>
            <w:r>
              <w:t>maksimum hkratnih mentorstev.</w:t>
            </w:r>
          </w:p>
        </w:tc>
      </w:tr>
      <w:tr w:rsidR="00822DB6" w:rsidRPr="00FE7069" w:rsidTr="007B50BE">
        <w:tc>
          <w:tcPr>
            <w:tcW w:w="6379" w:type="dxa"/>
            <w:gridSpan w:val="4"/>
          </w:tcPr>
          <w:p w:rsidR="006D3333" w:rsidRPr="00FE7069" w:rsidRDefault="006D3333" w:rsidP="006D3333">
            <w:pPr>
              <w:pStyle w:val="Brezrazmikov"/>
            </w:pPr>
            <w:r w:rsidRPr="00FE7069">
              <w:t xml:space="preserve">Mlajše kolege doletijo </w:t>
            </w:r>
            <w:r>
              <w:t xml:space="preserve">manj vabljivi </w:t>
            </w:r>
            <w:r w:rsidRPr="00FE7069">
              <w:t>predmeti.</w:t>
            </w:r>
          </w:p>
        </w:tc>
        <w:tc>
          <w:tcPr>
            <w:tcW w:w="4678" w:type="dxa"/>
            <w:gridSpan w:val="4"/>
          </w:tcPr>
          <w:p w:rsidR="006D3333" w:rsidRPr="00FE7069" w:rsidRDefault="006D3333" w:rsidP="008D3AFB">
            <w:pPr>
              <w:pStyle w:val="Brezrazmikov"/>
            </w:pPr>
            <w:r w:rsidRPr="00FE7069">
              <w:t>?</w:t>
            </w:r>
          </w:p>
        </w:tc>
      </w:tr>
      <w:tr w:rsidR="00822DB6" w:rsidRPr="00FE7069" w:rsidTr="007B50BE">
        <w:tc>
          <w:tcPr>
            <w:tcW w:w="6379" w:type="dxa"/>
            <w:gridSpan w:val="4"/>
          </w:tcPr>
          <w:p w:rsidR="006D3333" w:rsidRPr="00FE7069" w:rsidRDefault="006D3333" w:rsidP="008D3AFB">
            <w:pPr>
              <w:pStyle w:val="Brezrazmikov"/>
            </w:pPr>
            <w:r w:rsidRPr="00FE7069">
              <w:t>Učitelji v šolah so mentorji študentom na pedagoški praksi zastonj.</w:t>
            </w:r>
          </w:p>
        </w:tc>
        <w:tc>
          <w:tcPr>
            <w:tcW w:w="4678" w:type="dxa"/>
            <w:gridSpan w:val="4"/>
          </w:tcPr>
          <w:p w:rsidR="006D3333" w:rsidRPr="00FE7069" w:rsidRDefault="006D3333" w:rsidP="008D3AFB">
            <w:pPr>
              <w:pStyle w:val="Brezrazmikov"/>
            </w:pPr>
            <w:r w:rsidRPr="00FE7069">
              <w:t>?</w:t>
            </w:r>
          </w:p>
        </w:tc>
      </w:tr>
      <w:tr w:rsidR="006D3333" w:rsidRPr="00FE7069" w:rsidTr="007B50BE">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33" w:rsidRPr="00FE7069" w:rsidRDefault="006D3333" w:rsidP="008D3AFB">
            <w:pPr>
              <w:pStyle w:val="Brezrazmikov"/>
            </w:pPr>
            <w:r w:rsidRPr="00FE7069">
              <w:t>INTERNACIONALIZACIJA V IZOBRAŽEVALNI DEJAVNOSTI - MEDNARODNA DEJAVNOST</w:t>
            </w: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Ključni dosežki, prednosti in dobre prakse</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Zakaj je navedeno dobro?</w:t>
            </w: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6D3333">
            <w:pPr>
              <w:pStyle w:val="Brezrazmikov"/>
            </w:pPr>
            <w:r w:rsidRPr="00FE7069">
              <w:t>Mnogi učitelji vsako leto gostujejo prek Erasmusa na univerzah po svetu, letos Dunaj, Reka, Gospić, Novi Sad, Lizbona, Praga, Bratislava, Brno</w:t>
            </w:r>
            <w:r>
              <w:t xml:space="preserve"> in univerze v </w:t>
            </w:r>
            <w:r w:rsidRPr="006D3333">
              <w:t>Španij</w:t>
            </w:r>
            <w:r>
              <w:t>i in ZDA</w:t>
            </w:r>
            <w:r w:rsidRPr="00FE7069">
              <w:t>.</w:t>
            </w:r>
          </w:p>
        </w:tc>
        <w:tc>
          <w:tcPr>
            <w:tcW w:w="4678"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Razlaga ni potrebna.</w:t>
            </w: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Udeležba na konferencah in projektih: EECERA v Dublinu, Sapporo, Havana, OLA, Svetovni dnevi slovenske </w:t>
            </w:r>
            <w:r>
              <w:t>kulture</w:t>
            </w:r>
            <w:r w:rsidRPr="00FE7069">
              <w:t xml:space="preserve"> na tujih univerzah, Fonologija slovenščine (Toronto), X. colloque international d'argotologie, ob obletnici slovenistike v Brnu,</w:t>
            </w:r>
            <w:r>
              <w:t xml:space="preserve"> Budimpešti in Moskvi, simpozij</w:t>
            </w:r>
            <w:r w:rsidRPr="00FE7069">
              <w:t xml:space="preserve"> Obdobja, Medialnost in literatura, Vilenica, Borštnikovo srečanje, Sarajevo, fonetična konferenca v Zagrebu.</w:t>
            </w:r>
          </w:p>
        </w:tc>
        <w:tc>
          <w:tcPr>
            <w:tcW w:w="4678"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Razlaga ni potrebna.</w:t>
            </w: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Objave v tujih jezikih in v tujih revijah in zbornikih: Hrvaška, Novi Sad, Krakov, Varšava ...</w:t>
            </w:r>
          </w:p>
        </w:tc>
        <w:tc>
          <w:tcPr>
            <w:tcW w:w="4678"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Organizacija mednarodnih simpozijev Obdobja, Medialnost in literatura, pomoč pri organizaciji konference v Celovcu in slovenistične konference v Moskvi.</w:t>
            </w:r>
          </w:p>
        </w:tc>
        <w:tc>
          <w:tcPr>
            <w:tcW w:w="4678"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Razlaga ni potrebna.</w:t>
            </w: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Večmesečna gostujoča predavanja: Celovec, Zagreb.</w:t>
            </w:r>
          </w:p>
        </w:tc>
        <w:tc>
          <w:tcPr>
            <w:tcW w:w="4678"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Razlaga ni potrebna.</w:t>
            </w: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Študente usposabljamo za delo s slovenščino za tujce, pa tudi za odločitev za izmenjavo. Center za slovenščino organizira lektorate slovenščine doma in na tujih univerzah. </w:t>
            </w:r>
          </w:p>
        </w:tc>
        <w:tc>
          <w:tcPr>
            <w:tcW w:w="4678"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Internacionalizacija univerzitetnega in raziskovalnega prostora v Sloveniji lahko poteka tudi s krepitvijo moči slovenščine.</w:t>
            </w: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6D3333">
            <w:pPr>
              <w:pStyle w:val="Brezrazmikov"/>
            </w:pPr>
            <w:r w:rsidRPr="00FE7069">
              <w:t>Kon</w:t>
            </w:r>
            <w:r>
              <w:t>z</w:t>
            </w:r>
            <w:r w:rsidRPr="00FE7069">
              <w:t>ultacije in mentorstvo Erasmusovim študentom, priznavanje v tujini opravljenih obveznosti; vpis doktorskega študenta iz Italije, obisk treh študentov iz Toronta.</w:t>
            </w:r>
          </w:p>
        </w:tc>
        <w:tc>
          <w:tcPr>
            <w:tcW w:w="4678"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Primerjave z drugimi, zlasti slovanskimi jeziki, pri predavanjih in objavah; knjižnica je vključena v mednarodno izmenjavo gradiva.</w:t>
            </w:r>
          </w:p>
        </w:tc>
        <w:tc>
          <w:tcPr>
            <w:tcW w:w="4678"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Internacionalizacija niso samo potovanja v tujino.</w:t>
            </w:r>
          </w:p>
        </w:tc>
      </w:tr>
      <w:tr w:rsidR="007B50BE" w:rsidRPr="00FE7069" w:rsidTr="007B50BE">
        <w:tc>
          <w:tcPr>
            <w:tcW w:w="6379"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t xml:space="preserve">Sodelovanje pri pripravi razpisa MIZŠ in pripravi vloge UL na projekt </w:t>
            </w:r>
            <w:r>
              <w:lastRenderedPageBreak/>
              <w:t>Izboljšanje procesa internacionalizacije slovenskega visokega šolstva</w:t>
            </w:r>
            <w:r w:rsidR="00EE67C9">
              <w:t xml:space="preserve">. </w:t>
            </w:r>
            <w:r w:rsidR="00EE67C9" w:rsidRPr="00EE67C9">
              <w:t>V sklopu projekta je UL pridobila do 562.585</w:t>
            </w:r>
            <w:r w:rsidR="00EE67C9">
              <w:t>,00 EUR, večino FF.</w:t>
            </w:r>
          </w:p>
        </w:tc>
        <w:tc>
          <w:tcPr>
            <w:tcW w:w="4678"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lastRenderedPageBreak/>
              <w:t xml:space="preserve">20 % delež celotne vrednosti pridobljenih </w:t>
            </w:r>
            <w:r>
              <w:lastRenderedPageBreak/>
              <w:t xml:space="preserve">sredstev na UL je namenjen neposredno dejavnostim, povezanim s slovenščino - med drugim naj bi se na Oddelku sistemiziralo novo delovno mesto lektorja za slovenski jezik.  </w:t>
            </w: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lastRenderedPageBreak/>
              <w:t>Ključne pomanjkljivosti, priložnosti za izboljšave</w:t>
            </w:r>
          </w:p>
        </w:tc>
        <w:tc>
          <w:tcPr>
            <w:tcW w:w="4678"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Zakaj je navedeno slabo? Izboljšave?</w:t>
            </w: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Pogoj trimesečnega strnjenega bivanja v tujini je diskriminatoren za mlade matere, zlasti za samohranilke. </w:t>
            </w:r>
          </w:p>
        </w:tc>
        <w:tc>
          <w:tcPr>
            <w:tcW w:w="4678"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w:t>
            </w: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Premajhno sodelovanje pri pripravi člena o tujem jeziku na univerzi.</w:t>
            </w:r>
          </w:p>
        </w:tc>
        <w:tc>
          <w:tcPr>
            <w:tcW w:w="4678"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Ker je internacionalizacija brez slovenščine nesmiselna.</w:t>
            </w:r>
          </w:p>
        </w:tc>
      </w:tr>
      <w:tr w:rsidR="00EE67C9" w:rsidRPr="00FE7069" w:rsidTr="007B50BE">
        <w:tc>
          <w:tcPr>
            <w:tcW w:w="6379"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Spodletela prijava na bilateralni projekt.</w:t>
            </w:r>
          </w:p>
        </w:tc>
        <w:tc>
          <w:tcPr>
            <w:tcW w:w="4678" w:type="dxa"/>
            <w:gridSpan w:val="4"/>
            <w:tcBorders>
              <w:top w:val="single" w:sz="4" w:space="0" w:color="auto"/>
              <w:left w:val="single" w:sz="4" w:space="0" w:color="auto"/>
              <w:bottom w:val="single" w:sz="4" w:space="0" w:color="auto"/>
              <w:right w:val="single" w:sz="4" w:space="0" w:color="auto"/>
            </w:tcBorders>
          </w:tcPr>
          <w:p w:rsidR="006D3333" w:rsidRPr="00FE7069" w:rsidRDefault="006D3333" w:rsidP="00EE67C9">
            <w:pPr>
              <w:pStyle w:val="Brezrazmikov"/>
            </w:pPr>
            <w:r w:rsidRPr="00FE7069">
              <w:t>Ponovno poskusiti.</w:t>
            </w:r>
            <w:r w:rsidR="00EE67C9">
              <w:t xml:space="preserve"> </w:t>
            </w:r>
            <w:r>
              <w:t xml:space="preserve">Potrebno je proaktivno delovanje v širšem okolju in z več deležniki (na ravni fakultete, univerze, zavodov, inštitutov) in boljši pretok informacij. </w:t>
            </w:r>
          </w:p>
        </w:tc>
      </w:tr>
      <w:tr w:rsidR="006D3333" w:rsidRPr="00FE7069" w:rsidTr="007B50BE">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33" w:rsidRPr="00FE7069" w:rsidRDefault="006D3333" w:rsidP="008D3AFB">
            <w:pPr>
              <w:pStyle w:val="Brezrazmikov"/>
            </w:pPr>
            <w:r w:rsidRPr="00FE7069">
              <w:t>RAZISKOVALNA IN RAZVOJNA DEJAVNOST</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Ključni dosežki, prednosti in dobre prakse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Zakaj je navedeno dobro?</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Bibliometrični kazalci za 20 redno zaposlenih učiteljev in asistentov na oddelku (Bitenc Maja, Bjelčevič Aleksander, Hladnik Miran, Huber Damjan, Juvan Marko, Kranjc Simona, Kržišnik Erika, Novak-Popov Irena, Orel Irena, Perenič Urška, Pezdirc Bartol Mateja, Smole Vera, Smolej Mojca, Stabej Marko, Štumberger Saška, Tivadar Hotimir, Vogel Jerica, Zupan Sosič Alojzija, Žbogar Alenka, Žele Andreja): čistih citatov 107, h-index 5. </w:t>
            </w:r>
            <w:hyperlink r:id="rId4" w:tgtFrame="bibl" w:history="1">
              <w:r w:rsidRPr="00FE7069">
                <w:t>Vrednotenje bibliografskih kazalcev raziskovalne uspešnosti po metodologiji ARRS</w:t>
              </w:r>
            </w:hyperlink>
            <w:r w:rsidRPr="00FE7069">
              <w:t xml:space="preserve"> (http://izumbib.izum.si/bibliografije/V20161211181435</w:t>
            </w:r>
            <w:r>
              <w:t>-V-000.html) kaže oceno A1 = 6.</w:t>
            </w:r>
            <w:r w:rsidRPr="00FE7069">
              <w:t>3104.82 vseh točk za 70 znanstvenih objav in 311 strokovnih objav. Dve objavi imata status izjemnih, trinajst zelo kvalitetnih in 28 pomembnih.</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Vrednost navedenih podatkov se bo pokazala šele v primerjavi z drugimi oddelki in v primerjavi z rezultati v predhodnih in naslednjih letih. Priporočam, da kvantitativne podatke za FF pripravi OHK na podlagi poročil oddelčnih bibliotekarjev.</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Raziskava kanonizacije in mednarodne recepcije Prešerna, analiza slovenskih romanov o izbrisanih, kritična izdaja Prešernovih rokopisov, slovenska skladnja, specifika slovenskega glagola, bibliografija dr. Marje Boršnik, analiza ključnih sprememb v zgodovini slovenskega verza v moderni, gradivo o stališčih študentov na temo jezik in spol, gradivo za mednarodni otroški korpus CHILDES, analiza fonetično-fonološkega pouka pri slovenščini v OŠ in SŠ in opredelitev pravorečja v sodobni kodifikaciji.</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Knjige:</w:t>
            </w:r>
          </w:p>
          <w:p w:rsidR="006D3333" w:rsidRPr="00FE7069" w:rsidRDefault="006D3333" w:rsidP="008D3AFB">
            <w:pPr>
              <w:pStyle w:val="Brezrazmikov"/>
            </w:pPr>
            <w:r w:rsidRPr="00FE7069">
              <w:t>Pezdirc Ba</w:t>
            </w:r>
            <w:r>
              <w:t>r</w:t>
            </w:r>
            <w:r w:rsidRPr="00FE7069">
              <w:t>tol: Navzkrižja svetov: študije o slovenski dramatiki.</w:t>
            </w:r>
          </w:p>
          <w:p w:rsidR="006D3333" w:rsidRPr="00FE7069" w:rsidRDefault="006D3333" w:rsidP="008D3AFB">
            <w:pPr>
              <w:pStyle w:val="Brezrazmikov"/>
            </w:pPr>
            <w:r w:rsidRPr="00FE7069">
              <w:t>Žbogar, Pezdirc Bartol in Bjelčevič: uredništvo dveh tematskih številk JiS.</w:t>
            </w:r>
          </w:p>
          <w:p w:rsidR="006D3333" w:rsidRPr="00FE7069" w:rsidRDefault="006D3333" w:rsidP="008D3AFB">
            <w:pPr>
              <w:pStyle w:val="Brezrazmikov"/>
            </w:pPr>
            <w:r w:rsidRPr="00FE7069">
              <w:t xml:space="preserve">Juvan: </w:t>
            </w:r>
            <w:hyperlink r:id="rId5" w:history="1">
              <w:r w:rsidRPr="00FE7069">
                <w:rPr>
                  <w:rStyle w:val="Hiperpovezava"/>
                </w:rPr>
                <w:t>Imaginarij Krsta v slovenski literaturi</w:t>
              </w:r>
            </w:hyperlink>
            <w:r w:rsidRPr="00FE7069">
              <w:t>.</w:t>
            </w:r>
          </w:p>
          <w:p w:rsidR="006D3333" w:rsidRPr="00FE7069" w:rsidRDefault="006D3333" w:rsidP="008D3AFB">
            <w:pPr>
              <w:pStyle w:val="Brezrazmikov"/>
            </w:pPr>
            <w:r w:rsidRPr="00FE7069">
              <w:t xml:space="preserve">Hladnik: </w:t>
            </w:r>
            <w:hyperlink r:id="rId6" w:history="1">
              <w:r w:rsidRPr="00FE7069">
                <w:rPr>
                  <w:rStyle w:val="Hiperpovezava"/>
                </w:rPr>
                <w:t>Nova pisarija</w:t>
              </w:r>
            </w:hyperlink>
            <w:r w:rsidRPr="00FE7069">
              <w:t>.</w:t>
            </w:r>
          </w:p>
          <w:p w:rsidR="006D3333" w:rsidRPr="00FE7069" w:rsidRDefault="006D3333" w:rsidP="008D3AFB">
            <w:pPr>
              <w:pStyle w:val="Brezrazmikov"/>
            </w:pPr>
            <w:r w:rsidRPr="00FE7069">
              <w:t xml:space="preserve">Kržišnik-Hladnik (ur.): </w:t>
            </w:r>
            <w:hyperlink r:id="rId7" w:history="1">
              <w:r w:rsidRPr="00FE7069">
                <w:rPr>
                  <w:rStyle w:val="Hiperpovezava"/>
                </w:rPr>
                <w:t>Toporišičeva Obdobja</w:t>
              </w:r>
            </w:hyperlink>
            <w:r w:rsidRPr="00FE7069">
              <w:t>.</w:t>
            </w:r>
          </w:p>
          <w:p w:rsidR="006D3333" w:rsidRPr="00FE7069" w:rsidRDefault="006D3333" w:rsidP="008D3AFB">
            <w:pPr>
              <w:pStyle w:val="Brezrazmikov"/>
            </w:pPr>
            <w:r w:rsidRPr="00FE7069">
              <w:t xml:space="preserve">Zupan Sosič (ur.): </w:t>
            </w:r>
            <w:hyperlink r:id="rId8" w:history="1">
              <w:r w:rsidRPr="00FE7069">
                <w:rPr>
                  <w:rStyle w:val="Hiperpovezava"/>
                </w:rPr>
                <w:t>52. Zbornik SSJLK: Drugačnost v sloven</w:t>
              </w:r>
              <w:r>
                <w:rPr>
                  <w:rStyle w:val="Hiperpovezava"/>
                </w:rPr>
                <w:t>s</w:t>
              </w:r>
              <w:r w:rsidRPr="00FE7069">
                <w:rPr>
                  <w:rStyle w:val="Hiperpovezava"/>
                </w:rPr>
                <w:t>kem JLK</w:t>
              </w:r>
            </w:hyperlink>
            <w:r w:rsidRPr="00FE7069">
              <w:t>.</w:t>
            </w:r>
          </w:p>
          <w:p w:rsidR="006D3333" w:rsidRPr="00FE7069" w:rsidRDefault="006D3333" w:rsidP="008D3AFB">
            <w:pPr>
              <w:pStyle w:val="Brezrazmikov"/>
            </w:pPr>
            <w:r w:rsidRPr="00FE7069">
              <w:t>Smole et al.: Slovenski lingvistični atlas. 2, Kmetija.</w:t>
            </w:r>
          </w:p>
          <w:p w:rsidR="006D3333" w:rsidRPr="00FE7069" w:rsidRDefault="006D3333" w:rsidP="008D3AFB">
            <w:pPr>
              <w:pStyle w:val="Brezrazmikov"/>
            </w:pPr>
            <w:r w:rsidRPr="00FE7069">
              <w:t>Kržišnik (ur.): Prostor in čas v frazeologiji.</w:t>
            </w:r>
          </w:p>
          <w:p w:rsidR="006D3333" w:rsidRPr="00FE7069" w:rsidRDefault="006D3333" w:rsidP="008D3AFB">
            <w:pPr>
              <w:pStyle w:val="Brezrazmikov"/>
            </w:pPr>
            <w:r w:rsidRPr="00FE7069">
              <w:t>Perenič (ur.): Ljubezni pregoreče roža se razcveta: Ob 140. in 100. obletnici rojstev pesnikov Dragotina Ketteja in Bogomila Faturja.</w:t>
            </w:r>
          </w:p>
          <w:p w:rsidR="006D3333" w:rsidRPr="00FE7069" w:rsidRDefault="006D3333" w:rsidP="008D3AFB">
            <w:pPr>
              <w:pStyle w:val="Brezrazmikov"/>
            </w:pPr>
            <w:r w:rsidRPr="00FE7069">
              <w:t>Bitenc: Z jezikom na poti med Idrijskim in Ljubljano.</w:t>
            </w:r>
          </w:p>
          <w:p w:rsidR="006D3333" w:rsidRPr="00FE7069" w:rsidRDefault="006D3333" w:rsidP="008D3AFB">
            <w:pPr>
              <w:pStyle w:val="Brezrazmikov"/>
            </w:pPr>
            <w:r w:rsidRPr="00FE7069">
              <w:t>Bitenc: Variantnost govorjene slovenščine pri geografsko mobilnih osebah (disertacija).</w:t>
            </w:r>
          </w:p>
          <w:p w:rsidR="006D3333" w:rsidRPr="00FE7069" w:rsidRDefault="006D3333" w:rsidP="008D3AFB">
            <w:pPr>
              <w:pStyle w:val="Brezrazmikov"/>
            </w:pPr>
            <w:r w:rsidRPr="00FE7069">
              <w:t>Knez: Jezikovna zmožnost v slovenščini pri otrocih migrantih (disertacija).</w:t>
            </w:r>
          </w:p>
          <w:p w:rsidR="006D3333" w:rsidRPr="00FE7069" w:rsidRDefault="006D3333" w:rsidP="008D3AFB">
            <w:pPr>
              <w:pStyle w:val="Brezrazmikov"/>
            </w:pPr>
            <w:r w:rsidRPr="00FE7069">
              <w:t>Kern: Ohranjanje identitete s poučevanjem slovenščine med Slovenci v Avstriji (disertacija)</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Izbor člankov:</w:t>
            </w:r>
          </w:p>
          <w:p w:rsidR="006D3333" w:rsidRPr="00FE7069" w:rsidRDefault="006D3333" w:rsidP="008D3AFB">
            <w:pPr>
              <w:pStyle w:val="Brezrazmikov"/>
            </w:pPr>
            <w:r w:rsidRPr="00FE7069">
              <w:t>Zupan Sosič: Literarna oseba v sodobnem slov. romanu, JiS.</w:t>
            </w:r>
          </w:p>
          <w:p w:rsidR="006D3333" w:rsidRPr="00FE7069" w:rsidRDefault="006D3333" w:rsidP="008D3AFB">
            <w:pPr>
              <w:pStyle w:val="Brezrazmikov"/>
            </w:pPr>
            <w:r w:rsidRPr="00FE7069">
              <w:t>Zupan Sosič: Poczatky in zakonczenia narracji. V: Komunikacja miedzykulturowa (Katovice).</w:t>
            </w:r>
          </w:p>
          <w:p w:rsidR="006D3333" w:rsidRPr="00FE7069" w:rsidRDefault="006D3333" w:rsidP="008D3AFB">
            <w:pPr>
              <w:pStyle w:val="Brezrazmikov"/>
            </w:pPr>
            <w:r w:rsidRPr="00FE7069">
              <w:t>Hladnik: Zgodbe Prešernovih rokopisov, SR.</w:t>
            </w:r>
          </w:p>
          <w:p w:rsidR="006D3333" w:rsidRPr="00FE7069" w:rsidRDefault="006D3333" w:rsidP="008D3AFB">
            <w:pPr>
              <w:pStyle w:val="Brezrazmikov"/>
            </w:pPr>
            <w:r w:rsidRPr="00FE7069">
              <w:t>Hladnik et al.: Nova prešerniana, SR.</w:t>
            </w:r>
          </w:p>
          <w:p w:rsidR="006D3333" w:rsidRPr="00FE7069" w:rsidRDefault="006D3333" w:rsidP="008D3AFB">
            <w:pPr>
              <w:pStyle w:val="Brezrazmikov"/>
            </w:pPr>
            <w:r w:rsidRPr="00FE7069">
              <w:t>Kržišnik: Slovenskaja frazeologija v svete kul'tury. V: Jazyk, soznanie, kommunikacija (Moskva).</w:t>
            </w:r>
          </w:p>
          <w:p w:rsidR="006D3333" w:rsidRPr="00FE7069" w:rsidRDefault="006D3333" w:rsidP="008D3AFB">
            <w:pPr>
              <w:pStyle w:val="Brezrazmikov"/>
            </w:pPr>
            <w:r w:rsidRPr="00FE7069">
              <w:t>Bitenc</w:t>
            </w:r>
            <w:r>
              <w:t xml:space="preserve">: Language variation in Slovene. </w:t>
            </w:r>
            <w:r w:rsidRPr="00FE7069">
              <w:t>V: Language variation – European perspectives (Trondheim).</w:t>
            </w:r>
          </w:p>
          <w:p w:rsidR="006D3333" w:rsidRPr="00FE7069" w:rsidRDefault="006D3333" w:rsidP="008D3AFB">
            <w:pPr>
              <w:pStyle w:val="Brezrazmikov"/>
            </w:pPr>
            <w:r w:rsidRPr="00FE7069">
              <w:t>Tivadar: Vloga pravorečja in njegovo poučevanje v slovenskem osnovno- in srednješolskem izobraževanju, JiS.</w:t>
            </w:r>
          </w:p>
          <w:p w:rsidR="006D3333" w:rsidRPr="00FE7069" w:rsidRDefault="006D3333" w:rsidP="008D3AFB">
            <w:pPr>
              <w:pStyle w:val="Brezrazmikov"/>
            </w:pPr>
            <w:r w:rsidRPr="00FE7069">
              <w:t>Tivadar: Variantnost v prihodnjem slovenskem pravopisu. V: Pravopisna razpotja. Položaj pravorečja in retorike v sodobnem svetu : govorno neznanje in z njim povezana socialna diferenciacija. V: Slovenščina danes (Dialogi).</w:t>
            </w:r>
          </w:p>
          <w:p w:rsidR="006D3333" w:rsidRPr="00FE7069" w:rsidRDefault="006D3333" w:rsidP="008D3AFB">
            <w:pPr>
              <w:pStyle w:val="Brezrazmikov"/>
            </w:pPr>
            <w:r w:rsidRPr="00FE7069">
              <w:t>Smole: Imena suščestvitel´nye na -ev u Vatroslava Oblaka i v slovenskih dialektah. V: S˝vremennite izmerenija na edno naučno prozrenie (Sofija).</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EE67C9">
            <w:pPr>
              <w:pStyle w:val="Brezrazmikov"/>
            </w:pPr>
            <w:r>
              <w:t>Od januarja 2016 dalje uspešna implementacija programa Slovenščina kot drugi in tuji jezik (sprejet 2015); izpiti, ki se izvajajo v skladu s tem programom, omogočajo pridobitev listine o znanju slovenščine. Svetovni dnevi slovenske kulture</w:t>
            </w:r>
            <w:r w:rsidR="00EE67C9">
              <w:t xml:space="preserve"> – t</w:t>
            </w:r>
            <w:r>
              <w:t>udi v medijih zelo odmeven projekt STU.</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EE67C9">
            <w:pPr>
              <w:pStyle w:val="Brezrazmikov"/>
            </w:pPr>
            <w:r>
              <w:t>Izboljšan</w:t>
            </w:r>
            <w:r w:rsidR="00EE67C9">
              <w:t xml:space="preserve">o </w:t>
            </w:r>
            <w:r>
              <w:t>preverjanj</w:t>
            </w:r>
            <w:r w:rsidR="00EE67C9">
              <w:t>e</w:t>
            </w:r>
            <w:r>
              <w:t xml:space="preserve"> in certificiranj</w:t>
            </w:r>
            <w:r w:rsidR="00EE67C9">
              <w:t>e</w:t>
            </w:r>
            <w:r>
              <w:t xml:space="preserve"> znanja: avtentične naloge, objektiv</w:t>
            </w:r>
            <w:r w:rsidR="00EE67C9">
              <w:t xml:space="preserve">nešje </w:t>
            </w:r>
            <w:r>
              <w:t>ocenjevanj</w:t>
            </w:r>
            <w:r w:rsidR="00EE67C9">
              <w:t>e</w:t>
            </w:r>
            <w:r>
              <w:t>, mednarodno primerljivi standardi, ocene, usklajene z lestvicami SEJO.</w:t>
            </w:r>
          </w:p>
        </w:tc>
      </w:tr>
      <w:tr w:rsidR="00EE67C9"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EE67C9" w:rsidRDefault="00EE67C9" w:rsidP="008D3AFB">
            <w:pPr>
              <w:pStyle w:val="Brezrazmikov"/>
            </w:pPr>
            <w:r w:rsidRPr="00EE67C9">
              <w:t>Maja 2016 je bil na strokovnem svetu za izobraževanje odraslih sprejet program Opismenjevanje v slovenščini za govorce drugih jezikov z dodatkom za mladoletne prosilce za mednarodno zaščito. Soavtorici programa: Ina Ferbežar in Nataša Pirih Svetina.</w:t>
            </w:r>
          </w:p>
        </w:tc>
        <w:tc>
          <w:tcPr>
            <w:tcW w:w="3685" w:type="dxa"/>
            <w:gridSpan w:val="3"/>
            <w:tcBorders>
              <w:top w:val="single" w:sz="4" w:space="0" w:color="auto"/>
              <w:left w:val="single" w:sz="4" w:space="0" w:color="auto"/>
              <w:bottom w:val="single" w:sz="4" w:space="0" w:color="auto"/>
              <w:right w:val="single" w:sz="4" w:space="0" w:color="auto"/>
            </w:tcBorders>
          </w:tcPr>
          <w:p w:rsidR="00EE67C9" w:rsidRDefault="00EE67C9" w:rsidP="008D3AFB">
            <w:pPr>
              <w:pStyle w:val="Brezrazmikov"/>
            </w:pPr>
            <w:r>
              <w:t xml:space="preserve">Čisto </w:t>
            </w:r>
            <w:r w:rsidRPr="00EE67C9">
              <w:t xml:space="preserve">ovo področje strokovnega dela; program zapolnjuje vrzel na področju izobraževanja odraslih. </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Ključne pomanjkljivosti, priložnosti za izboljšave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 xml:space="preserve">Zakaj je navedeno slabo? </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22DB6">
            <w:pPr>
              <w:pStyle w:val="Brezrazmikov"/>
            </w:pPr>
            <w:r w:rsidRPr="00FE7069">
              <w:t>Neuspešne prijave na projekte: razvijanje bralne pismenosti, nevrološke raziskave branja slovenske književnosti, mentorstvo mlademu raziskovalcu, še en temeljni projekt (Stabej).</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22DB6">
            <w:pPr>
              <w:pStyle w:val="Brezrazmikov"/>
            </w:pPr>
            <w:r w:rsidRPr="00FE7069">
              <w:t xml:space="preserve">Kriteriji za sprejem se spreminjajo prehitro, da bi lahko prijave ustrezno pripravili. </w:t>
            </w:r>
          </w:p>
        </w:tc>
      </w:tr>
      <w:tr w:rsidR="00822DB6"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822DB6" w:rsidRPr="00FE7069" w:rsidRDefault="00822DB6" w:rsidP="008D3AFB">
            <w:pPr>
              <w:pStyle w:val="Brezrazmikov"/>
            </w:pPr>
            <w:r w:rsidRPr="00822DB6">
              <w:t>Neuresničeni načrt narečnih besedil z analizo na spletu.</w:t>
            </w:r>
          </w:p>
        </w:tc>
        <w:tc>
          <w:tcPr>
            <w:tcW w:w="3685" w:type="dxa"/>
            <w:gridSpan w:val="3"/>
            <w:tcBorders>
              <w:top w:val="single" w:sz="4" w:space="0" w:color="auto"/>
              <w:left w:val="single" w:sz="4" w:space="0" w:color="auto"/>
              <w:bottom w:val="single" w:sz="4" w:space="0" w:color="auto"/>
              <w:right w:val="single" w:sz="4" w:space="0" w:color="auto"/>
            </w:tcBorders>
          </w:tcPr>
          <w:p w:rsidR="00822DB6" w:rsidRPr="00FE7069" w:rsidRDefault="00822DB6" w:rsidP="00822DB6">
            <w:pPr>
              <w:pStyle w:val="Brezrazmikov"/>
            </w:pPr>
          </w:p>
        </w:tc>
      </w:tr>
      <w:tr w:rsidR="00822DB6"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822DB6" w:rsidRPr="00FE7069" w:rsidRDefault="00822DB6" w:rsidP="008D3AFB">
            <w:pPr>
              <w:pStyle w:val="Brezrazmikov"/>
            </w:pPr>
            <w:r w:rsidRPr="00822DB6">
              <w:t>Neuspešne prijave na ESS projekte MNZ (Orientacijski program za osebe, preseljene v RS na podlagi letne kvote; 850.000,00 EUR) in MIZŠ (Le z drugimi smo; 1.000.000,00 EUR).</w:t>
            </w:r>
          </w:p>
        </w:tc>
        <w:tc>
          <w:tcPr>
            <w:tcW w:w="3685" w:type="dxa"/>
            <w:gridSpan w:val="3"/>
            <w:tcBorders>
              <w:top w:val="single" w:sz="4" w:space="0" w:color="auto"/>
              <w:left w:val="single" w:sz="4" w:space="0" w:color="auto"/>
              <w:bottom w:val="single" w:sz="4" w:space="0" w:color="auto"/>
              <w:right w:val="single" w:sz="4" w:space="0" w:color="auto"/>
            </w:tcBorders>
          </w:tcPr>
          <w:p w:rsidR="00822DB6" w:rsidRPr="00FE7069" w:rsidRDefault="00822DB6" w:rsidP="00822DB6">
            <w:pPr>
              <w:pStyle w:val="Brezrazmikov"/>
            </w:pPr>
            <w:r w:rsidRPr="00822DB6">
              <w:t>Problem so razpisi, oblikovani kot naročila</w:t>
            </w:r>
            <w:r>
              <w:t>, ki</w:t>
            </w:r>
            <w:r w:rsidRPr="00822DB6">
              <w:t xml:space="preserve"> zlorabljajo </w:t>
            </w:r>
            <w:r>
              <w:t>pravi namen razpisov</w:t>
            </w:r>
            <w:r w:rsidRPr="00822DB6">
              <w:t>.</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t xml:space="preserve">Oddelek nima projekta, ki bi raziskovalno povezal jezikoslovce in literarne zgodovinarje, niti nimajo slovenistični jezikoslovci in literarni zgodovinarji vsak svojega projekta. </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Default="006D3333" w:rsidP="008D3AFB">
            <w:pPr>
              <w:pStyle w:val="Brezrazmikov"/>
            </w:pPr>
            <w:r>
              <w:t>Manjka agenda za vsako od oddelčnih disciplin. Edina trenutna evidentna preferenca je vzpostavljanje digitalne infrastrukture.</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33" w:rsidRPr="00FE7069" w:rsidRDefault="006D3333" w:rsidP="008D3AFB">
            <w:pPr>
              <w:pStyle w:val="Brezrazmikov"/>
            </w:pPr>
            <w:r w:rsidRPr="00FE7069">
              <w:t>KNJIŽNIČNA IN ZALOŽNIŠKA DEJAVNOST</w:t>
            </w:r>
          </w:p>
        </w:tc>
      </w:tr>
      <w:tr w:rsidR="006D3333" w:rsidRPr="00FE7069" w:rsidTr="007B50BE">
        <w:tc>
          <w:tcPr>
            <w:tcW w:w="538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Ključni dosežki, prednosti in dobre prakse</w:t>
            </w:r>
          </w:p>
        </w:tc>
        <w:tc>
          <w:tcPr>
            <w:tcW w:w="5670"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Zakaj je navedeno dobro?</w:t>
            </w:r>
          </w:p>
        </w:tc>
      </w:tr>
      <w:tr w:rsidR="006D3333" w:rsidRPr="00FE7069" w:rsidTr="007B50BE">
        <w:tc>
          <w:tcPr>
            <w:tcW w:w="5387" w:type="dxa"/>
            <w:gridSpan w:val="2"/>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Utečeno in uspešno publicira učbenike in priročnike Center za slovenščino kot drugi </w:t>
            </w:r>
            <w:r>
              <w:t>in</w:t>
            </w:r>
            <w:r w:rsidRPr="00FE7069">
              <w:t xml:space="preserve"> tuji jezik, tako v tiskani kot elektronski obliki, prosto dostopni na spletu. </w:t>
            </w:r>
          </w:p>
        </w:tc>
        <w:tc>
          <w:tcPr>
            <w:tcW w:w="5670" w:type="dxa"/>
            <w:gridSpan w:val="6"/>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FF bi morala v skladu s svojim prizadevanjem za akademsko odličnost promovirati objavljanje za prosti dostop in prosto uporabo.</w:t>
            </w:r>
          </w:p>
        </w:tc>
      </w:tr>
      <w:tr w:rsidR="006D3333" w:rsidRPr="00FE7069" w:rsidTr="007B50BE">
        <w:tc>
          <w:tcPr>
            <w:tcW w:w="538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Ključne pomanjkljivosti, priložnosti za izboljšave</w:t>
            </w:r>
          </w:p>
        </w:tc>
        <w:tc>
          <w:tcPr>
            <w:tcW w:w="567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Zakaj je navedeno slabo? Izboljšave?</w:t>
            </w:r>
          </w:p>
        </w:tc>
      </w:tr>
      <w:tr w:rsidR="006D3333" w:rsidRPr="00FE7069" w:rsidTr="007B50BE">
        <w:tc>
          <w:tcPr>
            <w:tcW w:w="5387" w:type="dxa"/>
            <w:gridSpan w:val="2"/>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Fond oddelčne knjižnice še vedno ni v celoti v Cobissu.</w:t>
            </w:r>
          </w:p>
        </w:tc>
        <w:tc>
          <w:tcPr>
            <w:tcW w:w="5670" w:type="dxa"/>
            <w:gridSpan w:val="6"/>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Ker nihče več knjig ne išče po listkovnih katalogih.</w:t>
            </w:r>
          </w:p>
        </w:tc>
      </w:tr>
      <w:tr w:rsidR="006D3333" w:rsidRPr="00FE7069" w:rsidTr="007B50BE">
        <w:tc>
          <w:tcPr>
            <w:tcW w:w="5387" w:type="dxa"/>
            <w:gridSpan w:val="2"/>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Cedejke z diplomskimi nalogami so shranjene v enem samem izvodu, brez varnostnih kopij na disku.</w:t>
            </w:r>
          </w:p>
        </w:tc>
        <w:tc>
          <w:tcPr>
            <w:tcW w:w="5670" w:type="dxa"/>
            <w:gridSpan w:val="6"/>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Ker bodo CD-ji čez nekaj let neberljivi, je treba diplomske naloge nemudoma prekopirati in postaviti na splet.</w:t>
            </w:r>
          </w:p>
        </w:tc>
      </w:tr>
      <w:tr w:rsidR="006D3333" w:rsidRPr="00FE7069" w:rsidTr="007B50BE">
        <w:tc>
          <w:tcPr>
            <w:tcW w:w="5387" w:type="dxa"/>
            <w:gridSpan w:val="2"/>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Učitelji ne postavljajo svojih objav v javni dostop na splet.</w:t>
            </w:r>
          </w:p>
        </w:tc>
        <w:tc>
          <w:tcPr>
            <w:tcW w:w="5670" w:type="dxa"/>
            <w:gridSpan w:val="6"/>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Priporočamo spletišča Academia.edu, ResearchGate, Videolectures, Wikiverza itd.</w:t>
            </w:r>
          </w:p>
        </w:tc>
      </w:tr>
      <w:tr w:rsidR="006D3333" w:rsidRPr="00FE7069" w:rsidTr="007B50BE">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33" w:rsidRPr="00FE7069" w:rsidRDefault="006D3333" w:rsidP="008D3AFB">
            <w:pPr>
              <w:pStyle w:val="Brezrazmikov"/>
            </w:pPr>
            <w:r w:rsidRPr="00FE7069">
              <w:t>INVESTICIJE IN VZDRŽEVANJE, PROSTORI IN OPREMA TER INFORMACIJSKI SISTEM</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Ključni dosežki, prednosti in dobre prakse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Zakaj je navedeno dobro?</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Računalniki in projektorji v vsaki predavalnici.</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Povezanost kolegov preko osebne poštne in forumske komunikacije.</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t>Podatkovne zbirke (2000 diplomskih nalog, 200 diplom s celotnimi besedili, katalog digitaliziranega leposlovja, zbirka kmečkih povesti in zgodovinskih romanov, kazala strokovnih knjig in leposlovni korpus na Wikipediji in Wikiviru, literarni sloji na Geopediji itd.).</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Ključne pomanjkljivosti, priložnosti za izboljšave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 xml:space="preserve">Zakaj je navedeno slabo? </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Vsiljeno spreminjanje gesel, kot da bi bili vojaška, ne pa humanistična ustanova, zadolžena za razširjanje (ne pa skrivanje) informacij. </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Ker ovira komunikacijo.</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Podatkovne zbirke (diplomske naloge, zbirki pripovedne proze in digitaliziranega leposlovja) smo preselili na gostoljubnejša spletišča zunaj FF.</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Ker tako postajamo znanstvena provinca.</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FF nam ni zagotovila obljubljenega oddelčnega spletišča, zato smo ga poiskali zunaj hiše.</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t>Ker pri kolegih šibi občutek pripadnosti inštituciji.</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Čeprav FF hrani podatke o vpisu in osipu skozi leta, učiteljem na spletu niso dostopni tako, da bi lahko spremljali dinamiko študentov na svojem oddelku.</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Študijske programe oblikujemo </w:t>
            </w:r>
            <w:r>
              <w:t xml:space="preserve">zato </w:t>
            </w:r>
            <w:r w:rsidRPr="00FE7069">
              <w:t>brez povratne informacije tega tipa.</w:t>
            </w:r>
          </w:p>
        </w:tc>
      </w:tr>
      <w:tr w:rsidR="006D3333" w:rsidRPr="00FE7069" w:rsidTr="007B50BE">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33" w:rsidRPr="00FE7069" w:rsidRDefault="006D3333" w:rsidP="008D3AFB">
            <w:pPr>
              <w:pStyle w:val="Brezrazmikov"/>
            </w:pPr>
            <w:r w:rsidRPr="00FE7069">
              <w:t>ČLOVEŠKI VIRI, OSEBJE</w:t>
            </w:r>
          </w:p>
        </w:tc>
      </w:tr>
      <w:tr w:rsidR="007B50BE" w:rsidRPr="00FE7069" w:rsidTr="007B50BE">
        <w:tc>
          <w:tcPr>
            <w:tcW w:w="822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Ključni dosežki, prednosti in dobre prakse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Zakaj je navedeno dobro?</w:t>
            </w:r>
          </w:p>
        </w:tc>
      </w:tr>
      <w:tr w:rsidR="006D3333" w:rsidRPr="00FE7069" w:rsidTr="007B50BE">
        <w:tc>
          <w:tcPr>
            <w:tcW w:w="8222" w:type="dxa"/>
            <w:gridSpan w:val="6"/>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Dve prevedbi iz asistenta v učitelja, na Centru za slovenščino eno novo mesto za izpite iz slovenščine</w:t>
            </w:r>
            <w:r>
              <w:t xml:space="preserve"> kot tujega jezika</w:t>
            </w:r>
            <w:r w:rsidRPr="00FE7069">
              <w:t xml:space="preserve"> </w:t>
            </w:r>
            <w:r>
              <w:t xml:space="preserve">in založniško dejavnost ter </w:t>
            </w:r>
            <w:r w:rsidRPr="00FE7069">
              <w:t xml:space="preserve">ena podaljšava zaposlitve </w:t>
            </w:r>
            <w:r>
              <w:t>za razvoj e-tečajev slovenščine kot tujega jezika</w:t>
            </w:r>
            <w:r w:rsidRPr="00FE7069">
              <w:t>.</w:t>
            </w:r>
          </w:p>
        </w:tc>
        <w:tc>
          <w:tcPr>
            <w:tcW w:w="2835" w:type="dxa"/>
            <w:gridSpan w:val="2"/>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7B50BE" w:rsidRPr="00FE7069" w:rsidTr="007B50BE">
        <w:tc>
          <w:tcPr>
            <w:tcW w:w="822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Ključne pomanjkljivosti, priložnosti za izboljšave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 xml:space="preserve">Zakaj je navedeno slabo? </w:t>
            </w:r>
          </w:p>
        </w:tc>
      </w:tr>
      <w:tr w:rsidR="006D3333" w:rsidRPr="00FE7069" w:rsidTr="007B50BE">
        <w:tc>
          <w:tcPr>
            <w:tcW w:w="8222" w:type="dxa"/>
            <w:gridSpan w:val="6"/>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Dve upokojitvi, vendar še nobenega nadomestila za izpraznjeni mesti. Doktorandka se po doktoratu ne more zaposliti na oddelku.</w:t>
            </w:r>
          </w:p>
        </w:tc>
        <w:tc>
          <w:tcPr>
            <w:tcW w:w="2835" w:type="dxa"/>
            <w:gridSpan w:val="2"/>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Ukiniti moratorij na izpraznjena mesta.</w:t>
            </w:r>
          </w:p>
        </w:tc>
      </w:tr>
      <w:tr w:rsidR="006D3333" w:rsidRPr="00FE7069" w:rsidTr="007B50BE">
        <w:tc>
          <w:tcPr>
            <w:tcW w:w="8222" w:type="dxa"/>
            <w:gridSpan w:val="6"/>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Trije učitelji bi radi asistentsko pomoč, ki pa je ni, ker smo </w:t>
            </w:r>
            <w:r>
              <w:t xml:space="preserve">sistemizirano </w:t>
            </w:r>
            <w:r w:rsidRPr="00FE7069">
              <w:t>asistentsko mesto zamenjali za učiteljsko. Želja za pogodbenega učitelja ni uresničljiva.</w:t>
            </w:r>
          </w:p>
        </w:tc>
        <w:tc>
          <w:tcPr>
            <w:tcW w:w="2835" w:type="dxa"/>
            <w:gridSpan w:val="2"/>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33" w:rsidRPr="00FE7069" w:rsidRDefault="006D3333" w:rsidP="008D3AFB">
            <w:pPr>
              <w:pStyle w:val="Brezrazmikov"/>
            </w:pPr>
            <w:r w:rsidRPr="00FE7069">
              <w:t>STORITVE ZA ŠTUDENTE, TUTORSTVO, ŠTUDENTSKI SVET IN INTERESNA DEJAVNOST</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Ključni dosežki, prednosti in dobre prakse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Vpliv na kakovost oz. ovrednotenje.</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Dobro sodelovanje med tutorji in študentskimi predstavniki </w:t>
            </w:r>
            <w:r>
              <w:t>ter</w:t>
            </w:r>
            <w:r w:rsidRPr="00FE7069">
              <w:t xml:space="preserve"> kakovostno obštudijsko življenje študentov. Dramska skupina na dveh oddelkih, vsakoletna ekskurzija po Levstikovi poti. En učitelj je tutor na FF, na UL pa predsednik Komisije za študente s posebnimi potrebami.</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Nekateri učitelji študentom dajejo tedenske domače naloge, ki naj pripomorejo k sprotnemu študiju, in natančno berejo in popravljajo seminarske izdelke in diplome. 2016 je bilo vpisano blizu 200 zaključnih izdelkov. Fakultetna Prešernova nagrada in nagrada Urada Vlade RS za Slovence v zamejstvu in po svetu za diplomsko nalogo.</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Posamezni učitelji vključuje</w:t>
            </w:r>
            <w:r>
              <w:t>jo študente v svoje raziskovalno</w:t>
            </w:r>
            <w:r w:rsidRPr="00FE7069">
              <w:t xml:space="preserve"> delo pri projektih (Wikivir, nevrološke raziskave, konference), študentje sodelujejo pri simpoziju Obdobja in pri Seminarju SJLK (za konverzacijo s tujimi tečajniki). Nekateri učitelji s študenti obiskujejo gledališke in filmske predstave, vaje v Drami SNG, razstave, literarne inštitucije, pripeljejo študente na simpozije; zavzeti študentje se jih udeležijo tudi na lastno pobudo.</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822DB6" w:rsidP="00822DB6">
            <w:pPr>
              <w:pStyle w:val="Brezrazmikov"/>
            </w:pPr>
            <w:r>
              <w:t>S</w:t>
            </w:r>
            <w:r w:rsidR="006D3333">
              <w:t xml:space="preserve">kupina </w:t>
            </w:r>
            <w:r>
              <w:t xml:space="preserve">15 </w:t>
            </w:r>
            <w:r w:rsidR="006D3333">
              <w:t xml:space="preserve">študentk </w:t>
            </w:r>
            <w:r>
              <w:t>je</w:t>
            </w:r>
            <w:r w:rsidR="006D3333">
              <w:t xml:space="preserve"> pri predmetu Poučevanje slovenščine kot </w:t>
            </w:r>
            <w:r>
              <w:t xml:space="preserve">DTJ </w:t>
            </w:r>
            <w:r w:rsidR="006D3333">
              <w:t>opravila 180 ur prostovoljne učne pomoči za otroke priseljence v OŠ Zalog.</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822DB6" w:rsidP="008D3AFB">
            <w:pPr>
              <w:pStyle w:val="Brezrazmikov"/>
            </w:pPr>
            <w:r>
              <w:t>P</w:t>
            </w:r>
            <w:r w:rsidR="006D3333">
              <w:t>renos pridobljenih znanj v prakso; družbeno koristno delo.</w:t>
            </w:r>
            <w:bookmarkStart w:id="0" w:name="_GoBack"/>
            <w:bookmarkEnd w:id="0"/>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Večina učiteljev je študentom po e-pošti na voljo ves čas. Nekateri nalagajo gradiva na VIS</w:t>
            </w:r>
            <w:r>
              <w:t xml:space="preserve"> in v Moodle</w:t>
            </w:r>
            <w:r w:rsidRPr="00FE7069">
              <w:t>, drugi na Wikiverzo.</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Ključne pomanjkljivosti, priložnosti za izboljšave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Zakaj je navedeno slabo? Izboljšave?</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Študentom se ne zdi primerno zavračanje zainteresiranih študentov za vlogo tutorja s številčnim omejevanjem mest, ... </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ker jih to odvrača od odločitve za pomoč in soustvarjanje obštudijskih dogodkov.</w:t>
            </w:r>
          </w:p>
        </w:tc>
      </w:tr>
      <w:tr w:rsidR="006D3333" w:rsidRPr="00FE7069" w:rsidTr="007B50BE">
        <w:tc>
          <w:tcPr>
            <w:tcW w:w="7372"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Stalna razpoložljivost učiteljev za študente začenja motiti redno pedagoško in raziskovalno delo, zato ...</w:t>
            </w:r>
          </w:p>
        </w:tc>
        <w:tc>
          <w:tcPr>
            <w:tcW w:w="3685"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bi učitelji želeli vsaj za konec tedna izklopiti e-pošto. Kar bo težko ...</w:t>
            </w:r>
          </w:p>
        </w:tc>
      </w:tr>
      <w:tr w:rsidR="006D3333" w:rsidRPr="00FE7069" w:rsidTr="007B50BE">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33" w:rsidRPr="00FE7069" w:rsidRDefault="006D3333" w:rsidP="008D3AFB">
            <w:pPr>
              <w:pStyle w:val="Brezrazmikov"/>
            </w:pPr>
            <w:r w:rsidRPr="00FE7069">
              <w:t>DELOVANJE SISTEMA KAKOVOSTI, PRIPRAVA DOKUMENTOV ZA SISTEM KAKOVOSTI, INSTRUMENTOV IN KAZALNIKOV KAKOVOSTI</w:t>
            </w:r>
          </w:p>
        </w:tc>
      </w:tr>
      <w:tr w:rsidR="006D3333" w:rsidRPr="00FE7069" w:rsidTr="007B50BE">
        <w:tc>
          <w:tcPr>
            <w:tcW w:w="524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Ključni dosežki, prednosti in dobre prakse</w:t>
            </w:r>
          </w:p>
        </w:tc>
        <w:tc>
          <w:tcPr>
            <w:tcW w:w="5812"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Obrazložitev vpliva na kakovost.</w:t>
            </w:r>
          </w:p>
        </w:tc>
      </w:tr>
      <w:tr w:rsidR="006D3333" w:rsidRPr="00FE7069" w:rsidTr="007B50BE">
        <w:tc>
          <w:tcPr>
            <w:tcW w:w="5245" w:type="dxa"/>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Študentske ankete upoštevamo ...</w:t>
            </w:r>
          </w:p>
        </w:tc>
        <w:tc>
          <w:tcPr>
            <w:tcW w:w="5812" w:type="dxa"/>
            <w:gridSpan w:val="7"/>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524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Ključne pomanjkljivosti, priložnosti za izboljšave</w:t>
            </w:r>
          </w:p>
        </w:tc>
        <w:tc>
          <w:tcPr>
            <w:tcW w:w="581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Zakaj je navedeno slabo? Izboljšave?</w:t>
            </w:r>
          </w:p>
        </w:tc>
      </w:tr>
      <w:tr w:rsidR="006D3333" w:rsidRPr="00FE7069" w:rsidTr="007B50BE">
        <w:tc>
          <w:tcPr>
            <w:tcW w:w="5245" w:type="dxa"/>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s kritično distanco zaradi vprašljive reprezentativnosti vzorca, neredne prisotnosti anketiranih na predavanjih, šibkega interesa za stroko in odpora študentov do zahtevnejših in abstraktnejših vsebin.</w:t>
            </w:r>
          </w:p>
        </w:tc>
        <w:tc>
          <w:tcPr>
            <w:tcW w:w="5812" w:type="dxa"/>
            <w:gridSpan w:val="7"/>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Študentske ankete ne smejo biti glavni kriterij ocenjevanja učiteljskega dela, posebej če izhajajo iz metodološkega okvira všečnosti. To pomeni ravnanje po logiki trga, kar pripelje do nižanja zahtev in slabših kompetenc.</w:t>
            </w:r>
          </w:p>
        </w:tc>
      </w:tr>
      <w:tr w:rsidR="006D3333" w:rsidRPr="00FE7069" w:rsidTr="007B50BE">
        <w:tc>
          <w:tcPr>
            <w:tcW w:w="5245" w:type="dxa"/>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Zakaj so za kvaliteto študija anketirani samo učitelji, študentje pa v vlogi njihovih kritikov? </w:t>
            </w:r>
          </w:p>
        </w:tc>
        <w:tc>
          <w:tcPr>
            <w:tcW w:w="5812" w:type="dxa"/>
            <w:gridSpan w:val="7"/>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Študentje naj namesto naštevanja, kaj jim ni všeč, raje premislijo, kako lahko sami pomagajo h kakovosti.</w:t>
            </w:r>
          </w:p>
        </w:tc>
      </w:tr>
      <w:tr w:rsidR="006D3333" w:rsidRPr="00FE7069" w:rsidTr="007B50BE">
        <w:tc>
          <w:tcPr>
            <w:tcW w:w="5245" w:type="dxa"/>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Reakreditacije so prepogoste in ovirajo redno delo.</w:t>
            </w:r>
          </w:p>
        </w:tc>
        <w:tc>
          <w:tcPr>
            <w:tcW w:w="5812" w:type="dxa"/>
            <w:gridSpan w:val="7"/>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33" w:rsidRPr="00FE7069" w:rsidRDefault="006D3333" w:rsidP="008D3AFB">
            <w:pPr>
              <w:pStyle w:val="Brezrazmikov"/>
            </w:pPr>
            <w:r w:rsidRPr="00FE7069">
              <w:t>PRENOS IN UPORABA ZNANJA – SODELOVANJE Z OKOLJEM</w:t>
            </w:r>
          </w:p>
        </w:tc>
      </w:tr>
      <w:tr w:rsidR="006D3333" w:rsidRPr="00FE7069" w:rsidTr="007B50BE">
        <w:tc>
          <w:tcPr>
            <w:tcW w:w="8931"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Ključni dosežki, prednosti in dobre prakse</w:t>
            </w: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D3333" w:rsidRPr="00FE7069" w:rsidRDefault="006D3333" w:rsidP="008D3AFB">
            <w:pPr>
              <w:pStyle w:val="Brezrazmikov"/>
            </w:pPr>
            <w:r w:rsidRPr="00FE7069">
              <w:t>Zakaj je to dobro?</w:t>
            </w:r>
          </w:p>
        </w:tc>
      </w:tr>
      <w:tr w:rsidR="006D3333" w:rsidRPr="00FE7069" w:rsidTr="007B50BE">
        <w:tc>
          <w:tcPr>
            <w:tcW w:w="8931" w:type="dxa"/>
            <w:gridSpan w:val="7"/>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Dogodki na oddelku so </w:t>
            </w:r>
            <w:r>
              <w:t>oglaševa</w:t>
            </w:r>
            <w:r w:rsidRPr="00FE7069">
              <w:t>ni in arhivirani na oddelčnih spletnih straneh in v strokovnem forumu Slovlit, katerega sporočila dnevno prejema 1660 naročnikov. Na 3. prog</w:t>
            </w:r>
            <w:r>
              <w:t>r</w:t>
            </w:r>
            <w:r w:rsidRPr="00FE7069">
              <w:t xml:space="preserve">amu </w:t>
            </w:r>
            <w:r>
              <w:t xml:space="preserve">nacionalnega </w:t>
            </w:r>
            <w:r w:rsidRPr="00FE7069">
              <w:t xml:space="preserve">radia so naše teme redno predstavljane v rubriki Jezikovni pogovori </w:t>
            </w:r>
            <w:r>
              <w:t>in</w:t>
            </w:r>
            <w:r w:rsidRPr="00FE7069">
              <w:t xml:space="preserve"> Svet kulture.</w:t>
            </w:r>
          </w:p>
        </w:tc>
        <w:tc>
          <w:tcPr>
            <w:tcW w:w="2126" w:type="dxa"/>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8931" w:type="dxa"/>
            <w:gridSpan w:val="7"/>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 xml:space="preserve">Posebna številka Dialogov o slovenščini danes, sodelovanje pri pripravi in odpravi zakona o učnem jeziku na univerzi; Debatna kavarna na knjižnem sejmu, žiriranje za Grumovo nagrado, druge javne razprave. </w:t>
            </w:r>
          </w:p>
        </w:tc>
        <w:tc>
          <w:tcPr>
            <w:tcW w:w="2126" w:type="dxa"/>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8931" w:type="dxa"/>
            <w:gridSpan w:val="7"/>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Posamezni učitelji vabijo v razred pisatelje in strokovnjake z drugih inštitucij, študentje vodijo z njimi pogovor. Nekateri so dejavni v lokalnem ali vseslovenskem kulturnem življenju z organizacijo simpozijev ob jubilejih, predavanji na njih. Obiski inštitucij pripeljejo tudi do zaposlitev: dve honorarni lektorici v Drami in ena v MGL.</w:t>
            </w:r>
          </w:p>
        </w:tc>
        <w:tc>
          <w:tcPr>
            <w:tcW w:w="2126" w:type="dxa"/>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8931" w:type="dxa"/>
            <w:gridSpan w:val="7"/>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Pedagoška praksa za študente na šolah po Sloveniji.</w:t>
            </w:r>
          </w:p>
        </w:tc>
        <w:tc>
          <w:tcPr>
            <w:tcW w:w="2126" w:type="dxa"/>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8931" w:type="dxa"/>
            <w:gridSpan w:val="7"/>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Predavanja v okviru Stalnega strokovnega izpopolnjevanja, predavanja retorike na UL, sodelovanje v raznih komisijah, okrogle mize, intervjuji, izjave za javnost. Toporišičevo leto je povezalo oddelek z lokalno skupnostjo Mostec in z občino Brežice, obletnice slovenistik pa s kolegi v Moskvi in Budimpešti. Razstava Poljub z jezikom – zgodovina slovenskega knjižnega jezika gostuje na univerzah v Moskvi, Bratislavi, Budimpešti, Zagrebu, Pragi.</w:t>
            </w:r>
          </w:p>
        </w:tc>
        <w:tc>
          <w:tcPr>
            <w:tcW w:w="2126" w:type="dxa"/>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893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Ključne pomanjkljivosti, priložnosti za izboljšave</w:t>
            </w: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Zakaj je to slabo?</w:t>
            </w:r>
          </w:p>
        </w:tc>
      </w:tr>
      <w:tr w:rsidR="006D3333" w:rsidRPr="00FE7069" w:rsidTr="007B50BE">
        <w:tc>
          <w:tcPr>
            <w:tcW w:w="8931" w:type="dxa"/>
            <w:gridSpan w:val="7"/>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Preredko pojavljanje v javnosti (tj. v dnevnem tisku, TV, radiu).</w:t>
            </w:r>
          </w:p>
        </w:tc>
        <w:tc>
          <w:tcPr>
            <w:tcW w:w="2126" w:type="dxa"/>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33" w:rsidRPr="00FE7069" w:rsidRDefault="006D3333" w:rsidP="008D3AFB">
            <w:pPr>
              <w:pStyle w:val="Brezrazmikov"/>
            </w:pPr>
            <w:r w:rsidRPr="00FE7069">
              <w:t>MOREBITNE ZUNANJE EVALVACIJE IN AKREDITACIJE</w:t>
            </w:r>
          </w:p>
        </w:tc>
      </w:tr>
      <w:tr w:rsidR="006D3333" w:rsidRPr="00FE7069" w:rsidTr="007B50BE">
        <w:tc>
          <w:tcPr>
            <w:tcW w:w="8931" w:type="dxa"/>
            <w:gridSpan w:val="7"/>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Oddelek je do zdaj uspešno prestal vse evalvacije NAKVIS-a. Nekateri učitelji izvajajo tudi ad hoc ankete ob zaključku svojih tečajev, ki se jim zdijo učinkovitejše od tistih na VIS-u.</w:t>
            </w:r>
          </w:p>
        </w:tc>
        <w:tc>
          <w:tcPr>
            <w:tcW w:w="2126" w:type="dxa"/>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33" w:rsidRPr="00FE7069" w:rsidRDefault="006D3333" w:rsidP="008D3AFB">
            <w:r w:rsidRPr="00FE7069">
              <w:t>2-3 KLJUČNI PROBLEMI, KI BI JIH ŽELELI ŠE POSEBEJ IZPOSTAVITI</w:t>
            </w:r>
          </w:p>
        </w:tc>
      </w:tr>
      <w:tr w:rsidR="006D3333" w:rsidRPr="00FE7069" w:rsidTr="007B50BE">
        <w:tc>
          <w:tcPr>
            <w:tcW w:w="552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Problem</w:t>
            </w:r>
          </w:p>
        </w:tc>
        <w:tc>
          <w:tcPr>
            <w:tcW w:w="5528"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3333" w:rsidRPr="00FE7069" w:rsidRDefault="006D3333" w:rsidP="008D3AFB">
            <w:pPr>
              <w:pStyle w:val="Brezrazmikov"/>
            </w:pPr>
            <w:r w:rsidRPr="00FE7069">
              <w:t xml:space="preserve">Predlagana/možna rešitev </w:t>
            </w:r>
          </w:p>
        </w:tc>
      </w:tr>
      <w:tr w:rsidR="006D3333" w:rsidRPr="00FE7069" w:rsidTr="007B50BE">
        <w:tc>
          <w:tcPr>
            <w:tcW w:w="5529"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Oddelki in posamezni učitelji (z izjemo senatorjev) nimajo možnosti dnevne medsebojne komunikacije, saj fakultetno spletišče tega ne ponuja, razpošiljanje sporočil vsem zaposlenim pa je posamezniku celo onemogočeno.</w:t>
            </w:r>
          </w:p>
        </w:tc>
        <w:tc>
          <w:tcPr>
            <w:tcW w:w="5528"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Premajhen pretok informacij med člani oddelka in med oddelki prispeva k šibki medsebojni povezanosti, medsebojnemu nezaupanju in slabi prepoznavnosti v jav</w:t>
            </w:r>
            <w:r>
              <w:t>n</w:t>
            </w:r>
            <w:r w:rsidRPr="00FE7069">
              <w:t xml:space="preserve">osti. Fakulteto pozivamo, naj temu problemu posveti prednostno pozornost. Diskusijski forumi so na spletu zastonj, če ga domači računalničarji ne znajo pripraviti. </w:t>
            </w:r>
          </w:p>
        </w:tc>
      </w:tr>
      <w:tr w:rsidR="006D3333" w:rsidRPr="00FE7069" w:rsidTr="007B50BE">
        <w:tc>
          <w:tcPr>
            <w:tcW w:w="5529"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Oddelek deli žalostno usodo drugih oddelkov na FF, ki nimajo dovoljenja za nalaganje diplomskih, magistrskih in doktorskih del, predobjav in drugih razprav v univerzitetni repozitorij.</w:t>
            </w:r>
          </w:p>
        </w:tc>
        <w:tc>
          <w:tcPr>
            <w:tcW w:w="5528"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Pritisniti na kolege, ki se bojijo objav zaradi nizke kvalitete diplom, ki so jih slabo mentorirali. Zgledovati se pri drugih fakultetah, kjer objavljanje diplom ni noben problem.</w:t>
            </w:r>
          </w:p>
        </w:tc>
      </w:tr>
      <w:tr w:rsidR="006D3333" w:rsidRPr="00FE7069" w:rsidTr="007B50BE">
        <w:tc>
          <w:tcPr>
            <w:tcW w:w="5529"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Učitelji želijo več pomoči FF pri prijavi mednarodnih projektov in pri ugovorih ob neuspešnem izidu.</w:t>
            </w:r>
          </w:p>
        </w:tc>
        <w:tc>
          <w:tcPr>
            <w:tcW w:w="5528"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p>
        </w:tc>
      </w:tr>
      <w:tr w:rsidR="006D3333" w:rsidRPr="00FE7069" w:rsidTr="007B50BE">
        <w:tc>
          <w:tcPr>
            <w:tcW w:w="5529" w:type="dxa"/>
            <w:gridSpan w:val="3"/>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Bolonja je na splošno zelo znižala nivo znanja zaradi zmanjšanja števila ur strokovnih predmetov v korist skupnih in pedagoških. To znanje je na voljo pri izbirnih predmetih, kjer pa je število študentov majhno.</w:t>
            </w:r>
          </w:p>
        </w:tc>
        <w:tc>
          <w:tcPr>
            <w:tcW w:w="5528" w:type="dxa"/>
            <w:gridSpan w:val="5"/>
            <w:tcBorders>
              <w:top w:val="single" w:sz="4" w:space="0" w:color="auto"/>
              <w:left w:val="single" w:sz="4" w:space="0" w:color="auto"/>
              <w:bottom w:val="single" w:sz="4" w:space="0" w:color="auto"/>
              <w:right w:val="single" w:sz="4" w:space="0" w:color="auto"/>
            </w:tcBorders>
          </w:tcPr>
          <w:p w:rsidR="006D3333" w:rsidRPr="00FE7069" w:rsidRDefault="006D3333" w:rsidP="008D3AFB">
            <w:pPr>
              <w:pStyle w:val="Brezrazmikov"/>
            </w:pPr>
            <w:r w:rsidRPr="00FE7069">
              <w:t>Predavanja brez lastnih raziskovalnih izkušenj učiteljev ne prispevajo k akademski odličnosti.</w:t>
            </w:r>
          </w:p>
        </w:tc>
      </w:tr>
    </w:tbl>
    <w:p w:rsidR="00BD5350" w:rsidRPr="006D3333" w:rsidRDefault="00BD5350" w:rsidP="006D3333"/>
    <w:sectPr w:rsidR="00BD5350" w:rsidRPr="006D3333" w:rsidSect="007B50BE">
      <w:pgSz w:w="11906" w:h="16838"/>
      <w:pgMar w:top="1134" w:right="28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compat/>
  <w:rsids>
    <w:rsidRoot w:val="006D3333"/>
    <w:rsid w:val="000122CD"/>
    <w:rsid w:val="0005561F"/>
    <w:rsid w:val="002E03E2"/>
    <w:rsid w:val="00345AF8"/>
    <w:rsid w:val="004D6884"/>
    <w:rsid w:val="006D3333"/>
    <w:rsid w:val="007B50BE"/>
    <w:rsid w:val="007B7152"/>
    <w:rsid w:val="00822DB6"/>
    <w:rsid w:val="008C5473"/>
    <w:rsid w:val="009D5269"/>
    <w:rsid w:val="00AF2C02"/>
    <w:rsid w:val="00BC4244"/>
    <w:rsid w:val="00BD5350"/>
    <w:rsid w:val="00D6015B"/>
    <w:rsid w:val="00D63AF8"/>
    <w:rsid w:val="00D63BC0"/>
    <w:rsid w:val="00DD2660"/>
    <w:rsid w:val="00DF17DC"/>
    <w:rsid w:val="00E056E3"/>
    <w:rsid w:val="00EE67C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5350"/>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D3333"/>
    <w:rPr>
      <w:rFonts w:ascii="Calibri" w:eastAsia="Calibri" w:hAnsi="Calibri" w:cs="Times New Roman"/>
    </w:rPr>
  </w:style>
  <w:style w:type="character" w:styleId="Hiperpovezava">
    <w:name w:val="Hyperlink"/>
    <w:basedOn w:val="Privzetapisavaodstavka"/>
    <w:uiPriority w:val="99"/>
    <w:unhideWhenUsed/>
    <w:rsid w:val="006D3333"/>
    <w:rPr>
      <w:color w:val="0000FF" w:themeColor="hyperlink"/>
      <w:u w:val="single"/>
    </w:rPr>
  </w:style>
  <w:style w:type="character" w:styleId="Komentar-sklic">
    <w:name w:val="annotation reference"/>
    <w:basedOn w:val="Privzetapisavaodstavka"/>
    <w:uiPriority w:val="99"/>
    <w:semiHidden/>
    <w:unhideWhenUsed/>
    <w:rsid w:val="006D3333"/>
    <w:rPr>
      <w:sz w:val="16"/>
      <w:szCs w:val="16"/>
    </w:rPr>
  </w:style>
  <w:style w:type="paragraph" w:styleId="Komentar-besedilo">
    <w:name w:val="annotation text"/>
    <w:basedOn w:val="Navaden"/>
    <w:link w:val="Komentar-besediloZnak"/>
    <w:uiPriority w:val="99"/>
    <w:semiHidden/>
    <w:unhideWhenUsed/>
    <w:rsid w:val="006D3333"/>
    <w:rPr>
      <w:sz w:val="20"/>
      <w:szCs w:val="20"/>
    </w:rPr>
  </w:style>
  <w:style w:type="character" w:customStyle="1" w:styleId="Komentar-besediloZnak">
    <w:name w:val="Komentar - besedilo Znak"/>
    <w:basedOn w:val="Privzetapisavaodstavka"/>
    <w:link w:val="Komentar-besedilo"/>
    <w:uiPriority w:val="99"/>
    <w:semiHidden/>
    <w:rsid w:val="006D3333"/>
    <w:rPr>
      <w:sz w:val="20"/>
      <w:szCs w:val="20"/>
    </w:rPr>
  </w:style>
  <w:style w:type="paragraph" w:styleId="Besedilooblaka">
    <w:name w:val="Balloon Text"/>
    <w:basedOn w:val="Navaden"/>
    <w:link w:val="BesedilooblakaZnak"/>
    <w:uiPriority w:val="99"/>
    <w:semiHidden/>
    <w:unhideWhenUsed/>
    <w:rsid w:val="006D333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333"/>
    <w:rPr>
      <w:rFonts w:ascii="Tahoma" w:hAnsi="Tahoma" w:cs="Tahoma"/>
      <w:sz w:val="16"/>
      <w:szCs w:val="16"/>
    </w:rPr>
  </w:style>
  <w:style w:type="paragraph" w:styleId="Naslov">
    <w:name w:val="Title"/>
    <w:basedOn w:val="Navaden"/>
    <w:next w:val="Navaden"/>
    <w:link w:val="NaslovZnak"/>
    <w:uiPriority w:val="10"/>
    <w:qFormat/>
    <w:rsid w:val="00822D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822DB6"/>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822D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822DB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erslo.si/seminar-sjlk/zborniki-ssjlk/52-ssjlk-2016/" TargetMode="External"/><Relationship Id="rId3" Type="http://schemas.openxmlformats.org/officeDocument/2006/relationships/webSettings" Target="webSettings.xml"/><Relationship Id="rId7" Type="http://schemas.openxmlformats.org/officeDocument/2006/relationships/hyperlink" Target="http://centerslo.si/simpozij-obdobja/zborniki/obdobja-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wikibooks.org/wiki/Nova_pisarija" TargetMode="External"/><Relationship Id="rId5" Type="http://schemas.openxmlformats.org/officeDocument/2006/relationships/hyperlink" Target="http://ezb.ijs.si/fedora/get/ezmono:imaginarij/VIEW/" TargetMode="External"/><Relationship Id="rId10" Type="http://schemas.openxmlformats.org/officeDocument/2006/relationships/theme" Target="theme/theme1.xml"/><Relationship Id="rId4" Type="http://schemas.openxmlformats.org/officeDocument/2006/relationships/hyperlink" Target="http://www.sicris.si/public/jqm/virtual_group_submit.aspx?lang=slv&amp;type=Bibs_gvirtual"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2684</Words>
  <Characters>16614</Characters>
  <Application>Microsoft Office Word</Application>
  <DocSecurity>0</DocSecurity>
  <Lines>474</Lines>
  <Paragraphs>306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dc:creator>
  <cp:lastModifiedBy>Rec.</cp:lastModifiedBy>
  <cp:revision>2</cp:revision>
  <dcterms:created xsi:type="dcterms:W3CDTF">2016-12-15T17:29:00Z</dcterms:created>
  <dcterms:modified xsi:type="dcterms:W3CDTF">2016-12-15T17:29:00Z</dcterms:modified>
</cp:coreProperties>
</file>